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980AE" w14:textId="52B2BA23"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OGP Advisory </w:t>
      </w:r>
      <w:r>
        <w:rPr>
          <w:rFonts w:ascii="Maiandra GD" w:eastAsia="Canva Sans Bold" w:hAnsi="Maiandra GD" w:cs="Canva Sans Bold"/>
          <w:b/>
          <w:bCs/>
          <w:color w:val="000000"/>
          <w:sz w:val="24"/>
          <w:szCs w:val="24"/>
        </w:rPr>
        <w:t xml:space="preserve">Services: </w:t>
      </w:r>
      <w:r w:rsidRPr="006E5DDE">
        <w:rPr>
          <w:rFonts w:ascii="Maiandra GD" w:eastAsia="Canva Sans Bold" w:hAnsi="Maiandra GD" w:cs="Canva Sans Bold"/>
          <w:b/>
          <w:bCs/>
          <w:color w:val="000000"/>
          <w:sz w:val="24"/>
          <w:szCs w:val="24"/>
        </w:rPr>
        <w:t xml:space="preserve">Tax Alert </w:t>
      </w:r>
      <w:r>
        <w:rPr>
          <w:rFonts w:ascii="Maiandra GD" w:eastAsia="Canva Sans Bold" w:hAnsi="Maiandra GD" w:cs="Canva Sans Bold"/>
          <w:b/>
          <w:bCs/>
          <w:color w:val="000000"/>
          <w:sz w:val="24"/>
          <w:szCs w:val="24"/>
        </w:rPr>
        <w:t>20.08.2026</w:t>
      </w:r>
    </w:p>
    <w:p w14:paraId="2EEA6269"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Tax Appeals Tribunal Confirms Taxpayers’ Right to Offset Approved Tax Overpayments Across Tax Heads </w:t>
      </w:r>
    </w:p>
    <w:p w14:paraId="70CE2FC2"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Howard Humphreys (East Africa) Limited v Kenya Revenue Authority, TATC/E980/2025 </w:t>
      </w:r>
    </w:p>
    <w:p w14:paraId="310B089C" w14:textId="52193B41"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Decision date:</w:t>
      </w:r>
      <w:r w:rsidRPr="006E5DDE">
        <w:rPr>
          <w:rFonts w:ascii="Maiandra GD" w:eastAsia="Canva Sans" w:hAnsi="Maiandra GD" w:cs="Canva Sans"/>
          <w:color w:val="000000"/>
          <w:sz w:val="24"/>
          <w:szCs w:val="24"/>
        </w:rPr>
        <w:t>10 July 2026</w:t>
      </w:r>
      <w:r w:rsidRPr="006E5DDE">
        <w:rPr>
          <w:rFonts w:ascii="Maiandra GD" w:eastAsia="Canva Sans" w:hAnsi="Maiandra GD" w:cs="Canva Sans"/>
          <w:color w:val="000000"/>
          <w:sz w:val="24"/>
          <w:szCs w:val="24"/>
        </w:rPr>
        <w:br/>
      </w:r>
      <w:r w:rsidRPr="006E5DDE">
        <w:rPr>
          <w:rFonts w:ascii="Maiandra GD" w:eastAsia="Canva Sans Bold" w:hAnsi="Maiandra GD" w:cs="Canva Sans Bold"/>
          <w:b/>
          <w:bCs/>
          <w:color w:val="000000"/>
          <w:sz w:val="24"/>
          <w:szCs w:val="24"/>
        </w:rPr>
        <w:t xml:space="preserve">Prepared </w:t>
      </w:r>
      <w:proofErr w:type="gramStart"/>
      <w:r w:rsidRPr="006E5DDE">
        <w:rPr>
          <w:rFonts w:ascii="Maiandra GD" w:eastAsia="Canva Sans Bold" w:hAnsi="Maiandra GD" w:cs="Canva Sans Bold"/>
          <w:b/>
          <w:bCs/>
          <w:color w:val="000000"/>
          <w:sz w:val="24"/>
          <w:szCs w:val="24"/>
        </w:rPr>
        <w:t>by:</w:t>
      </w:r>
      <w:r w:rsidRPr="006E5DDE">
        <w:rPr>
          <w:rFonts w:ascii="Maiandra GD" w:eastAsia="Canva Sans" w:hAnsi="Maiandra GD" w:cs="Canva Sans"/>
          <w:color w:val="000000"/>
          <w:sz w:val="24"/>
          <w:szCs w:val="24"/>
        </w:rPr>
        <w:t>OGP</w:t>
      </w:r>
      <w:proofErr w:type="gramEnd"/>
      <w:r w:rsidRPr="006E5DDE">
        <w:rPr>
          <w:rFonts w:ascii="Maiandra GD" w:eastAsia="Canva Sans" w:hAnsi="Maiandra GD" w:cs="Canva Sans"/>
          <w:color w:val="000000"/>
          <w:sz w:val="24"/>
          <w:szCs w:val="24"/>
        </w:rPr>
        <w:t xml:space="preserve"> Advisory Services Limited </w:t>
      </w:r>
    </w:p>
    <w:p w14:paraId="0F560824" w14:textId="77777777" w:rsidR="008A3112" w:rsidRPr="006E5DDE" w:rsidRDefault="008A3112">
      <w:pPr>
        <w:pBdr>
          <w:bottom w:val="single" w:sz="6" w:space="0" w:color="BFC3C8"/>
        </w:pBdr>
        <w:spacing w:before="120" w:after="120" w:line="0" w:lineRule="auto"/>
        <w:rPr>
          <w:rFonts w:ascii="Maiandra GD" w:hAnsi="Maiandra GD"/>
          <w:sz w:val="24"/>
          <w:szCs w:val="24"/>
        </w:rPr>
      </w:pPr>
    </w:p>
    <w:p w14:paraId="7282FAC8"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Executive Summary </w:t>
      </w:r>
    </w:p>
    <w:p w14:paraId="25DBC338"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In a decision delivered on </w:t>
      </w:r>
      <w:r w:rsidRPr="006E5DDE">
        <w:rPr>
          <w:rFonts w:ascii="Maiandra GD" w:eastAsia="Canva Sans Bold" w:hAnsi="Maiandra GD" w:cs="Canva Sans Bold"/>
          <w:b/>
          <w:bCs/>
          <w:color w:val="000000"/>
          <w:sz w:val="24"/>
          <w:szCs w:val="24"/>
        </w:rPr>
        <w:t>10 July 2026</w:t>
      </w:r>
      <w:r w:rsidRPr="006E5DDE">
        <w:rPr>
          <w:rFonts w:ascii="Maiandra GD" w:eastAsia="Canva Sans" w:hAnsi="Maiandra GD" w:cs="Canva Sans"/>
          <w:color w:val="000000"/>
          <w:sz w:val="24"/>
          <w:szCs w:val="24"/>
        </w:rPr>
        <w:t>, the Tax Appeals Tribunal confirmed that ta</w:t>
      </w:r>
      <w:r w:rsidRPr="006E5DDE">
        <w:rPr>
          <w:rFonts w:ascii="Maiandra GD" w:eastAsia="Canva Sans" w:hAnsi="Maiandra GD" w:cs="Canva Sans"/>
          <w:color w:val="000000"/>
          <w:sz w:val="24"/>
          <w:szCs w:val="24"/>
        </w:rPr>
        <w:t xml:space="preserve">xpayers with approved and ascertained overpaid taxes may use </w:t>
      </w:r>
      <w:r w:rsidRPr="006E5DDE">
        <w:rPr>
          <w:rFonts w:ascii="Maiandra GD" w:eastAsia="Canva Sans Bold" w:hAnsi="Maiandra GD" w:cs="Canva Sans Bold"/>
          <w:b/>
          <w:bCs/>
          <w:color w:val="000000"/>
          <w:sz w:val="24"/>
          <w:szCs w:val="24"/>
        </w:rPr>
        <w:t>Overpayment Adjustment Vouchers (OAVs)</w:t>
      </w:r>
      <w:r w:rsidRPr="006E5DDE">
        <w:rPr>
          <w:rFonts w:ascii="Maiandra GD" w:eastAsia="Canva Sans" w:hAnsi="Maiandra GD" w:cs="Canva Sans"/>
          <w:color w:val="000000"/>
          <w:sz w:val="24"/>
          <w:szCs w:val="24"/>
        </w:rPr>
        <w:t xml:space="preserve"> to offset outstanding tax debts and future tax liabilities across tax heads, including </w:t>
      </w:r>
      <w:r w:rsidRPr="006E5DDE">
        <w:rPr>
          <w:rFonts w:ascii="Maiandra GD" w:eastAsia="Canva Sans Bold" w:hAnsi="Maiandra GD" w:cs="Canva Sans Bold"/>
          <w:b/>
          <w:bCs/>
          <w:color w:val="000000"/>
          <w:sz w:val="24"/>
          <w:szCs w:val="24"/>
        </w:rPr>
        <w:t>Pay-As-You-Earn (PAYE)</w:t>
      </w:r>
      <w:r w:rsidRPr="006E5DDE">
        <w:rPr>
          <w:rFonts w:ascii="Maiandra GD" w:eastAsia="Canva Sans" w:hAnsi="Maiandra GD" w:cs="Canva Sans"/>
          <w:color w:val="000000"/>
          <w:sz w:val="24"/>
          <w:szCs w:val="24"/>
        </w:rPr>
        <w:t xml:space="preserve">. </w:t>
      </w:r>
    </w:p>
    <w:p w14:paraId="7ADCF8DB"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The Tribunal held that </w:t>
      </w:r>
      <w:r w:rsidRPr="006E5DDE">
        <w:rPr>
          <w:rFonts w:ascii="Maiandra GD" w:eastAsia="Canva Sans Bold" w:hAnsi="Maiandra GD" w:cs="Canva Sans Bold"/>
          <w:b/>
          <w:bCs/>
          <w:color w:val="000000"/>
          <w:sz w:val="24"/>
          <w:szCs w:val="24"/>
        </w:rPr>
        <w:t>section 47 of the Tax</w:t>
      </w:r>
      <w:r w:rsidRPr="006E5DDE">
        <w:rPr>
          <w:rFonts w:ascii="Maiandra GD" w:eastAsia="Canva Sans Bold" w:hAnsi="Maiandra GD" w:cs="Canva Sans Bold"/>
          <w:b/>
          <w:bCs/>
          <w:color w:val="000000"/>
          <w:sz w:val="24"/>
          <w:szCs w:val="24"/>
        </w:rPr>
        <w:t xml:space="preserve"> Procedures Act, 2015</w:t>
      </w:r>
      <w:r w:rsidRPr="006E5DDE">
        <w:rPr>
          <w:rFonts w:ascii="Maiandra GD" w:eastAsia="Canva Sans" w:hAnsi="Maiandra GD" w:cs="Canva Sans"/>
          <w:color w:val="000000"/>
          <w:sz w:val="24"/>
          <w:szCs w:val="24"/>
        </w:rPr>
        <w:t xml:space="preserve"> does not restrict offsets to specific tax heads and that an administrative circular issued by the National Treasury cannot override express statutory provisions. </w:t>
      </w:r>
    </w:p>
    <w:p w14:paraId="0A43EEA3"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This ruling is particularly relevant for taxpayers with approved tax cr</w:t>
      </w:r>
      <w:r w:rsidRPr="006E5DDE">
        <w:rPr>
          <w:rFonts w:ascii="Maiandra GD" w:eastAsia="Canva Sans" w:hAnsi="Maiandra GD" w:cs="Canva Sans"/>
          <w:color w:val="000000"/>
          <w:sz w:val="24"/>
          <w:szCs w:val="24"/>
        </w:rPr>
        <w:t xml:space="preserve">edits (including excess withholding tax credits) that may not be immediately utilizable against corporation tax due to accumulated tax losses or other tax attributes. </w:t>
      </w:r>
    </w:p>
    <w:tbl>
      <w:tblPr>
        <w:tblW w:w="903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9030"/>
      </w:tblGrid>
      <w:tr w:rsidR="008A3112" w:rsidRPr="006E5DDE" w14:paraId="4019F0DF" w14:textId="77777777">
        <w:tblPrEx>
          <w:tblCellMar>
            <w:top w:w="0" w:type="dxa"/>
            <w:bottom w:w="0" w:type="dxa"/>
          </w:tblCellMar>
        </w:tblPrEx>
        <w:tc>
          <w:tcPr>
            <w:tcW w:w="9030" w:type="dxa"/>
            <w:shd w:val="clear" w:color="auto" w:fill="EEF4FF"/>
            <w:tcMar>
              <w:top w:w="0" w:type="dxa"/>
              <w:left w:w="0" w:type="dxa"/>
              <w:bottom w:w="0" w:type="dxa"/>
              <w:right w:w="0" w:type="dxa"/>
            </w:tcMar>
          </w:tcPr>
          <w:p w14:paraId="6B26871A"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Key takeaway:</w:t>
            </w:r>
            <w:r w:rsidRPr="006E5DDE">
              <w:rPr>
                <w:rFonts w:ascii="Maiandra GD" w:eastAsia="Canva Sans" w:hAnsi="Maiandra GD" w:cs="Canva Sans"/>
                <w:color w:val="000000"/>
                <w:sz w:val="24"/>
                <w:szCs w:val="24"/>
              </w:rPr>
              <w:t xml:space="preserve"> Where an overpayment has been approved and ascertained, taxpayers may appl</w:t>
            </w:r>
            <w:r w:rsidRPr="006E5DDE">
              <w:rPr>
                <w:rFonts w:ascii="Maiandra GD" w:eastAsia="Canva Sans" w:hAnsi="Maiandra GD" w:cs="Canva Sans"/>
                <w:color w:val="000000"/>
                <w:sz w:val="24"/>
                <w:szCs w:val="24"/>
              </w:rPr>
              <w:t xml:space="preserve">y OAVs broadly against outstanding and future tax liabilities under section 47, and administrative system restrictions should not curtail that statutory right. </w:t>
            </w:r>
          </w:p>
        </w:tc>
      </w:tr>
    </w:tbl>
    <w:p w14:paraId="3E3A81BD" w14:textId="77777777" w:rsidR="008A3112" w:rsidRPr="006E5DDE" w:rsidRDefault="008A3112">
      <w:pPr>
        <w:pBdr>
          <w:bottom w:val="single" w:sz="6" w:space="0" w:color="BFC3C8"/>
        </w:pBdr>
        <w:spacing w:before="120" w:after="120" w:line="0" w:lineRule="auto"/>
        <w:rPr>
          <w:rFonts w:ascii="Maiandra GD" w:hAnsi="Maiandra GD"/>
          <w:sz w:val="24"/>
          <w:szCs w:val="24"/>
        </w:rPr>
      </w:pPr>
    </w:p>
    <w:p w14:paraId="65900A9F"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Background </w:t>
      </w:r>
    </w:p>
    <w:p w14:paraId="61F4633B"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Howard Humphreys (East Africa) Limited, an engineering consultancy and management</w:t>
      </w:r>
      <w:r w:rsidRPr="006E5DDE">
        <w:rPr>
          <w:rFonts w:ascii="Maiandra GD" w:eastAsia="Canva Sans" w:hAnsi="Maiandra GD" w:cs="Canva Sans"/>
          <w:color w:val="000000"/>
          <w:sz w:val="24"/>
          <w:szCs w:val="24"/>
        </w:rPr>
        <w:t xml:space="preserve"> services company, accumulated withholding tax credits amounting to </w:t>
      </w:r>
      <w:r w:rsidRPr="006E5DDE">
        <w:rPr>
          <w:rFonts w:ascii="Maiandra GD" w:eastAsia="Canva Sans Bold" w:hAnsi="Maiandra GD" w:cs="Canva Sans Bold"/>
          <w:b/>
          <w:bCs/>
          <w:color w:val="000000"/>
          <w:sz w:val="24"/>
          <w:szCs w:val="24"/>
        </w:rPr>
        <w:t>KES 42.2 million</w:t>
      </w:r>
      <w:r w:rsidRPr="006E5DDE">
        <w:rPr>
          <w:rFonts w:ascii="Maiandra GD" w:eastAsia="Canva Sans" w:hAnsi="Maiandra GD" w:cs="Canva Sans"/>
          <w:color w:val="000000"/>
          <w:sz w:val="24"/>
          <w:szCs w:val="24"/>
        </w:rPr>
        <w:t xml:space="preserve">. </w:t>
      </w:r>
    </w:p>
    <w:p w14:paraId="778FB6BB"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Due to substantial accumulated tax losses, the company could not utilise the withholding tax credits against corporation tax, resulting in an overpaid tax position. </w:t>
      </w:r>
    </w:p>
    <w:p w14:paraId="5F621E24"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Following a refund audit and a consent settlement in an earlier dispute, the Kenya Revenue Authority confirmed the amount as refundable. However, instead of issuing </w:t>
      </w:r>
      <w:r w:rsidRPr="006E5DDE">
        <w:rPr>
          <w:rFonts w:ascii="Maiandra GD" w:eastAsia="Canva Sans" w:hAnsi="Maiandra GD" w:cs="Canva Sans"/>
          <w:color w:val="000000"/>
          <w:sz w:val="24"/>
          <w:szCs w:val="24"/>
        </w:rPr>
        <w:lastRenderedPageBreak/>
        <w:t>a cash refund, KRA directed that the approved overpayment be utilised through offsets and i</w:t>
      </w:r>
      <w:r w:rsidRPr="006E5DDE">
        <w:rPr>
          <w:rFonts w:ascii="Maiandra GD" w:eastAsia="Canva Sans" w:hAnsi="Maiandra GD" w:cs="Canva Sans"/>
          <w:color w:val="000000"/>
          <w:sz w:val="24"/>
          <w:szCs w:val="24"/>
        </w:rPr>
        <w:t xml:space="preserve">ssued OAVs equivalent to the approved tax credits. </w:t>
      </w:r>
    </w:p>
    <w:p w14:paraId="522B2ECF"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Between </w:t>
      </w:r>
      <w:r w:rsidRPr="006E5DDE">
        <w:rPr>
          <w:rFonts w:ascii="Maiandra GD" w:eastAsia="Canva Sans Bold" w:hAnsi="Maiandra GD" w:cs="Canva Sans Bold"/>
          <w:b/>
          <w:bCs/>
          <w:color w:val="000000"/>
          <w:sz w:val="24"/>
          <w:szCs w:val="24"/>
        </w:rPr>
        <w:t>July 2024 and June 2025</w:t>
      </w:r>
      <w:r w:rsidRPr="006E5DDE">
        <w:rPr>
          <w:rFonts w:ascii="Maiandra GD" w:eastAsia="Canva Sans" w:hAnsi="Maiandra GD" w:cs="Canva Sans"/>
          <w:color w:val="000000"/>
          <w:sz w:val="24"/>
          <w:szCs w:val="24"/>
        </w:rPr>
        <w:t xml:space="preserve">, the taxpayer successfully used the OAVs to settle </w:t>
      </w:r>
      <w:r w:rsidRPr="006E5DDE">
        <w:rPr>
          <w:rFonts w:ascii="Maiandra GD" w:eastAsia="Canva Sans Bold" w:hAnsi="Maiandra GD" w:cs="Canva Sans Bold"/>
          <w:b/>
          <w:bCs/>
          <w:color w:val="000000"/>
          <w:sz w:val="24"/>
          <w:szCs w:val="24"/>
        </w:rPr>
        <w:t>PAYE and VAT liabilities</w:t>
      </w:r>
      <w:r w:rsidRPr="006E5DDE">
        <w:rPr>
          <w:rFonts w:ascii="Maiandra GD" w:eastAsia="Canva Sans" w:hAnsi="Maiandra GD" w:cs="Canva Sans"/>
          <w:color w:val="000000"/>
          <w:sz w:val="24"/>
          <w:szCs w:val="24"/>
        </w:rPr>
        <w:t xml:space="preserve"> through the iTax platform. </w:t>
      </w:r>
    </w:p>
    <w:p w14:paraId="5DAF8BF8"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On </w:t>
      </w:r>
      <w:r w:rsidRPr="006E5DDE">
        <w:rPr>
          <w:rFonts w:ascii="Maiandra GD" w:eastAsia="Canva Sans Bold" w:hAnsi="Maiandra GD" w:cs="Canva Sans Bold"/>
          <w:b/>
          <w:bCs/>
          <w:color w:val="000000"/>
          <w:sz w:val="24"/>
          <w:szCs w:val="24"/>
        </w:rPr>
        <w:t>19 June 2025</w:t>
      </w:r>
      <w:r w:rsidRPr="006E5DDE">
        <w:rPr>
          <w:rFonts w:ascii="Maiandra GD" w:eastAsia="Canva Sans" w:hAnsi="Maiandra GD" w:cs="Canva Sans"/>
          <w:color w:val="000000"/>
          <w:sz w:val="24"/>
          <w:szCs w:val="24"/>
        </w:rPr>
        <w:t xml:space="preserve">, the National Treasury issued a circular directing </w:t>
      </w:r>
      <w:proofErr w:type="gramStart"/>
      <w:r w:rsidRPr="006E5DDE">
        <w:rPr>
          <w:rFonts w:ascii="Maiandra GD" w:eastAsia="Canva Sans" w:hAnsi="Maiandra GD" w:cs="Canva Sans"/>
          <w:color w:val="000000"/>
          <w:sz w:val="24"/>
          <w:szCs w:val="24"/>
        </w:rPr>
        <w:t>t</w:t>
      </w:r>
      <w:r w:rsidRPr="006E5DDE">
        <w:rPr>
          <w:rFonts w:ascii="Maiandra GD" w:eastAsia="Canva Sans" w:hAnsi="Maiandra GD" w:cs="Canva Sans"/>
          <w:color w:val="000000"/>
          <w:sz w:val="24"/>
          <w:szCs w:val="24"/>
        </w:rPr>
        <w:t>hat approved refunds</w:t>
      </w:r>
      <w:proofErr w:type="gramEnd"/>
      <w:r w:rsidRPr="006E5DDE">
        <w:rPr>
          <w:rFonts w:ascii="Maiandra GD" w:eastAsia="Canva Sans" w:hAnsi="Maiandra GD" w:cs="Canva Sans"/>
          <w:color w:val="000000"/>
          <w:sz w:val="24"/>
          <w:szCs w:val="24"/>
        </w:rPr>
        <w:t xml:space="preserve"> should not be offset against PAYE, withholding taxes, or taxes and levies on imported goods, describing these as “agency taxes”. The circular stated that approved refunds should only be offset against the taxpayer’s “own” tax liabiliti</w:t>
      </w:r>
      <w:r w:rsidRPr="006E5DDE">
        <w:rPr>
          <w:rFonts w:ascii="Maiandra GD" w:eastAsia="Canva Sans" w:hAnsi="Maiandra GD" w:cs="Canva Sans"/>
          <w:color w:val="000000"/>
          <w:sz w:val="24"/>
          <w:szCs w:val="24"/>
        </w:rPr>
        <w:t xml:space="preserve">es, such as corporation tax, VAT on supplies, and excise duty on supplies. </w:t>
      </w:r>
    </w:p>
    <w:p w14:paraId="3299A1F4"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Following the circular, KRA disabled the iTax functionality that allowed OAVs to be applied against PAYE. When the taxpayer attempted to offset PAYE liabilities for July and August</w:t>
      </w:r>
      <w:r w:rsidRPr="006E5DDE">
        <w:rPr>
          <w:rFonts w:ascii="Maiandra GD" w:eastAsia="Canva Sans" w:hAnsi="Maiandra GD" w:cs="Canva Sans"/>
          <w:color w:val="000000"/>
          <w:sz w:val="24"/>
          <w:szCs w:val="24"/>
        </w:rPr>
        <w:t xml:space="preserve"> 2025, the system did not permit the offset, resulting in interest accruing on the outstanding PAYE liabilities. </w:t>
      </w:r>
    </w:p>
    <w:p w14:paraId="4AE6E6F4"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After KRA failed to respond to the taxpayer’s request to reactivate the offset functionality, the taxpayer appealed to the Tax Appeals Tribuna</w:t>
      </w:r>
      <w:r w:rsidRPr="006E5DDE">
        <w:rPr>
          <w:rFonts w:ascii="Maiandra GD" w:eastAsia="Canva Sans" w:hAnsi="Maiandra GD" w:cs="Canva Sans"/>
          <w:color w:val="000000"/>
          <w:sz w:val="24"/>
          <w:szCs w:val="24"/>
        </w:rPr>
        <w:t xml:space="preserve">l. </w:t>
      </w:r>
    </w:p>
    <w:p w14:paraId="17370C43" w14:textId="77777777" w:rsidR="008A3112" w:rsidRPr="006E5DDE" w:rsidRDefault="008A3112">
      <w:pPr>
        <w:pBdr>
          <w:bottom w:val="single" w:sz="6" w:space="0" w:color="BFC3C8"/>
        </w:pBdr>
        <w:spacing w:before="120" w:after="120" w:line="0" w:lineRule="auto"/>
        <w:rPr>
          <w:rFonts w:ascii="Maiandra GD" w:hAnsi="Maiandra GD"/>
          <w:sz w:val="24"/>
          <w:szCs w:val="24"/>
        </w:rPr>
      </w:pPr>
    </w:p>
    <w:p w14:paraId="35DE3637"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The Tribunal’s Determination </w:t>
      </w:r>
    </w:p>
    <w:p w14:paraId="28D2A796"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The Tribunal adopted a plain reading of </w:t>
      </w:r>
      <w:r w:rsidRPr="006E5DDE">
        <w:rPr>
          <w:rFonts w:ascii="Maiandra GD" w:eastAsia="Canva Sans Bold" w:hAnsi="Maiandra GD" w:cs="Canva Sans Bold"/>
          <w:b/>
          <w:bCs/>
          <w:color w:val="000000"/>
          <w:sz w:val="24"/>
          <w:szCs w:val="24"/>
        </w:rPr>
        <w:t>section 47(1)(a) of the Tax Procedures Act, 2015</w:t>
      </w:r>
      <w:r w:rsidRPr="006E5DDE">
        <w:rPr>
          <w:rFonts w:ascii="Maiandra GD" w:eastAsia="Canva Sans" w:hAnsi="Maiandra GD" w:cs="Canva Sans"/>
          <w:color w:val="000000"/>
          <w:sz w:val="24"/>
          <w:szCs w:val="24"/>
        </w:rPr>
        <w:t>, which allows a taxpayer that has overpaid tax to apply to the Commissioner to offset the overpayment against the taxpayer’s outstan</w:t>
      </w:r>
      <w:r w:rsidRPr="006E5DDE">
        <w:rPr>
          <w:rFonts w:ascii="Maiandra GD" w:eastAsia="Canva Sans" w:hAnsi="Maiandra GD" w:cs="Canva Sans"/>
          <w:color w:val="000000"/>
          <w:sz w:val="24"/>
          <w:szCs w:val="24"/>
        </w:rPr>
        <w:t xml:space="preserve">ding tax debts and future tax liabilities, including instalment taxes and VAT payable on imports. </w:t>
      </w:r>
    </w:p>
    <w:p w14:paraId="3473E389"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The Tribunal held that the phrase </w:t>
      </w:r>
      <w:r w:rsidRPr="006E5DDE">
        <w:rPr>
          <w:rFonts w:ascii="Maiandra GD" w:eastAsia="Canva Sans Bold" w:hAnsi="Maiandra GD" w:cs="Canva Sans Bold"/>
          <w:b/>
          <w:bCs/>
          <w:color w:val="000000"/>
          <w:sz w:val="24"/>
          <w:szCs w:val="24"/>
        </w:rPr>
        <w:t>“outstanding tax debts and future tax liabilities”</w:t>
      </w:r>
      <w:r w:rsidRPr="006E5DDE">
        <w:rPr>
          <w:rFonts w:ascii="Maiandra GD" w:eastAsia="Canva Sans" w:hAnsi="Maiandra GD" w:cs="Canva Sans"/>
          <w:color w:val="000000"/>
          <w:sz w:val="24"/>
          <w:szCs w:val="24"/>
        </w:rPr>
        <w:t xml:space="preserve"> is not restricted to any particular tax head. It further observed that t</w:t>
      </w:r>
      <w:r w:rsidRPr="006E5DDE">
        <w:rPr>
          <w:rFonts w:ascii="Maiandra GD" w:eastAsia="Canva Sans" w:hAnsi="Maiandra GD" w:cs="Canva Sans"/>
          <w:color w:val="000000"/>
          <w:sz w:val="24"/>
          <w:szCs w:val="24"/>
        </w:rPr>
        <w:t xml:space="preserve">he use of the word </w:t>
      </w:r>
      <w:r w:rsidRPr="006E5DDE">
        <w:rPr>
          <w:rFonts w:ascii="Maiandra GD" w:eastAsia="Canva Sans Bold" w:hAnsi="Maiandra GD" w:cs="Canva Sans Bold"/>
          <w:b/>
          <w:bCs/>
          <w:color w:val="000000"/>
          <w:sz w:val="24"/>
          <w:szCs w:val="24"/>
        </w:rPr>
        <w:t>“including”</w:t>
      </w:r>
      <w:r w:rsidRPr="006E5DDE">
        <w:rPr>
          <w:rFonts w:ascii="Maiandra GD" w:eastAsia="Canva Sans" w:hAnsi="Maiandra GD" w:cs="Canva Sans"/>
          <w:color w:val="000000"/>
          <w:sz w:val="24"/>
          <w:szCs w:val="24"/>
        </w:rPr>
        <w:t xml:space="preserve"> in the statute means that the listed tax liabilities are illustrative rather than exhaustive. </w:t>
      </w:r>
    </w:p>
    <w:p w14:paraId="5CECC187"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In addressing the character of PAYE, the Tribunal distinguished between: </w:t>
      </w:r>
    </w:p>
    <w:p w14:paraId="01C9522E" w14:textId="77777777" w:rsidR="008A3112" w:rsidRPr="006E5DDE" w:rsidRDefault="002126A6">
      <w:pPr>
        <w:numPr>
          <w:ilvl w:val="0"/>
          <w:numId w:val="1"/>
        </w:numPr>
        <w:spacing w:after="0" w:line="336" w:lineRule="auto"/>
        <w:rPr>
          <w:rFonts w:ascii="Maiandra GD" w:hAnsi="Maiandra GD"/>
          <w:sz w:val="24"/>
          <w:szCs w:val="24"/>
        </w:rPr>
      </w:pPr>
      <w:r w:rsidRPr="006E5DDE">
        <w:rPr>
          <w:rFonts w:ascii="Maiandra GD" w:eastAsia="Canva Sans Bold" w:hAnsi="Maiandra GD" w:cs="Canva Sans Bold"/>
          <w:b/>
          <w:bCs/>
          <w:color w:val="000000"/>
          <w:sz w:val="24"/>
          <w:szCs w:val="24"/>
        </w:rPr>
        <w:t>The charge to tax</w:t>
      </w:r>
      <w:r w:rsidRPr="006E5DDE">
        <w:rPr>
          <w:rFonts w:ascii="Maiandra GD" w:eastAsia="Canva Sans" w:hAnsi="Maiandra GD" w:cs="Canva Sans"/>
          <w:color w:val="000000"/>
          <w:sz w:val="24"/>
          <w:szCs w:val="24"/>
        </w:rPr>
        <w:t xml:space="preserve"> on an employee’s income; and </w:t>
      </w:r>
    </w:p>
    <w:p w14:paraId="23626509" w14:textId="77777777" w:rsidR="008A3112" w:rsidRPr="006E5DDE" w:rsidRDefault="002126A6">
      <w:pPr>
        <w:numPr>
          <w:ilvl w:val="0"/>
          <w:numId w:val="1"/>
        </w:numPr>
        <w:spacing w:after="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The </w:t>
      </w:r>
      <w:r w:rsidRPr="006E5DDE">
        <w:rPr>
          <w:rFonts w:ascii="Maiandra GD" w:eastAsia="Canva Sans Bold" w:hAnsi="Maiandra GD" w:cs="Canva Sans Bold"/>
          <w:b/>
          <w:bCs/>
          <w:color w:val="000000"/>
          <w:sz w:val="24"/>
          <w:szCs w:val="24"/>
        </w:rPr>
        <w:t>employer’s statutory obligation</w:t>
      </w:r>
      <w:r w:rsidRPr="006E5DDE">
        <w:rPr>
          <w:rFonts w:ascii="Maiandra GD" w:eastAsia="Canva Sans" w:hAnsi="Maiandra GD" w:cs="Canva Sans"/>
          <w:color w:val="000000"/>
          <w:sz w:val="24"/>
          <w:szCs w:val="24"/>
        </w:rPr>
        <w:t xml:space="preserve"> to deduct, account for, and remit PAYE. </w:t>
      </w:r>
    </w:p>
    <w:p w14:paraId="10CAD833"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Although PAYE is charged on employment income, employers bear the statutory obligation to deduct and remit the tax to KRA and are exposed to penalties and interest where PAYE is not r</w:t>
      </w:r>
      <w:r w:rsidRPr="006E5DDE">
        <w:rPr>
          <w:rFonts w:ascii="Maiandra GD" w:eastAsia="Canva Sans" w:hAnsi="Maiandra GD" w:cs="Canva Sans"/>
          <w:color w:val="000000"/>
          <w:sz w:val="24"/>
          <w:szCs w:val="24"/>
        </w:rPr>
        <w:t xml:space="preserve">emitted within the prescribed timelines. </w:t>
      </w:r>
    </w:p>
    <w:p w14:paraId="50D4E369"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lastRenderedPageBreak/>
        <w:t xml:space="preserve">On that basis, the Tribunal held that PAYE obligations constitute part of an employer’s outstanding tax debts and future tax liabilities for purposes of section 47 of the Tax Procedures Act. </w:t>
      </w:r>
    </w:p>
    <w:p w14:paraId="1225068B"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The Tribunal rejected </w:t>
      </w:r>
      <w:r w:rsidRPr="006E5DDE">
        <w:rPr>
          <w:rFonts w:ascii="Maiandra GD" w:eastAsia="Canva Sans" w:hAnsi="Maiandra GD" w:cs="Canva Sans"/>
          <w:color w:val="000000"/>
          <w:sz w:val="24"/>
          <w:szCs w:val="24"/>
        </w:rPr>
        <w:t xml:space="preserve">KRA’s reliance on the National Treasury circular, holding that an administrative circular cannot amend, restrict, or override an express statutory provision. Any limitation on the utilisation of approved tax credits would require legislative amendment. </w:t>
      </w:r>
    </w:p>
    <w:p w14:paraId="3178BC58"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Th</w:t>
      </w:r>
      <w:r w:rsidRPr="006E5DDE">
        <w:rPr>
          <w:rFonts w:ascii="Maiandra GD" w:eastAsia="Canva Sans" w:hAnsi="Maiandra GD" w:cs="Canva Sans"/>
          <w:color w:val="000000"/>
          <w:sz w:val="24"/>
          <w:szCs w:val="24"/>
        </w:rPr>
        <w:t>e Tribunal also rejected KRA’s unjust enrichment argument. It found that the taxpayer was not seeking a refund of PAYE deducted from employees. Rather, the taxpayer was utilising its own approved income tax credit, arising from withholding tax on consultan</w:t>
      </w:r>
      <w:r w:rsidRPr="006E5DDE">
        <w:rPr>
          <w:rFonts w:ascii="Maiandra GD" w:eastAsia="Canva Sans" w:hAnsi="Maiandra GD" w:cs="Canva Sans"/>
          <w:color w:val="000000"/>
          <w:sz w:val="24"/>
          <w:szCs w:val="24"/>
        </w:rPr>
        <w:t xml:space="preserve">cy fees, to settle its own statutory remittance obligation. </w:t>
      </w:r>
    </w:p>
    <w:p w14:paraId="7FDE3822"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Accordingly, the Tribunal allowed the appeal and held that the taxpayer was entitled to use its OAVs to offset PAYE liabilities and other outstanding or future tax liabilities under section 47(1)</w:t>
      </w:r>
      <w:r w:rsidRPr="006E5DDE">
        <w:rPr>
          <w:rFonts w:ascii="Maiandra GD" w:eastAsia="Canva Sans" w:hAnsi="Maiandra GD" w:cs="Canva Sans"/>
          <w:color w:val="000000"/>
          <w:sz w:val="24"/>
          <w:szCs w:val="24"/>
        </w:rPr>
        <w:t xml:space="preserve">(a) of the Tax Procedures Act. </w:t>
      </w:r>
    </w:p>
    <w:p w14:paraId="0B1C6B16"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The Tribunal further held that interest arising solely from KRA’s disabling of the offset functionality should be vacated. </w:t>
      </w:r>
    </w:p>
    <w:p w14:paraId="5C44F2D9" w14:textId="77777777" w:rsidR="008A3112" w:rsidRPr="006E5DDE" w:rsidRDefault="008A3112">
      <w:pPr>
        <w:pBdr>
          <w:bottom w:val="single" w:sz="6" w:space="0" w:color="BFC3C8"/>
        </w:pBdr>
        <w:spacing w:before="120" w:after="120" w:line="0" w:lineRule="auto"/>
        <w:rPr>
          <w:rFonts w:ascii="Maiandra GD" w:hAnsi="Maiandra GD"/>
          <w:sz w:val="24"/>
          <w:szCs w:val="24"/>
        </w:rPr>
      </w:pPr>
    </w:p>
    <w:p w14:paraId="5C255016"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Implications of the Judgment </w:t>
      </w:r>
    </w:p>
    <w:p w14:paraId="1E7E535B"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This decision is a major development for taxpayers with approved tax </w:t>
      </w:r>
      <w:r w:rsidRPr="006E5DDE">
        <w:rPr>
          <w:rFonts w:ascii="Maiandra GD" w:eastAsia="Canva Sans" w:hAnsi="Maiandra GD" w:cs="Canva Sans"/>
          <w:color w:val="000000"/>
          <w:sz w:val="24"/>
          <w:szCs w:val="24"/>
        </w:rPr>
        <w:t xml:space="preserve">credits and unresolved overpayment positions. </w:t>
      </w:r>
    </w:p>
    <w:p w14:paraId="6F508B18"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The ruling confirms that approved overpaid taxes may be applied broadly against outstanding and future tax obligations, including: </w:t>
      </w:r>
    </w:p>
    <w:p w14:paraId="7FF50B08" w14:textId="77777777" w:rsidR="008A3112" w:rsidRPr="006E5DDE" w:rsidRDefault="002126A6">
      <w:pPr>
        <w:numPr>
          <w:ilvl w:val="0"/>
          <w:numId w:val="2"/>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PAYE </w:t>
      </w:r>
    </w:p>
    <w:p w14:paraId="76B520B9" w14:textId="77777777" w:rsidR="008A3112" w:rsidRPr="006E5DDE" w:rsidRDefault="002126A6">
      <w:pPr>
        <w:numPr>
          <w:ilvl w:val="0"/>
          <w:numId w:val="2"/>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VAT </w:t>
      </w:r>
    </w:p>
    <w:p w14:paraId="1DB54BED" w14:textId="77777777" w:rsidR="008A3112" w:rsidRPr="006E5DDE" w:rsidRDefault="002126A6">
      <w:pPr>
        <w:numPr>
          <w:ilvl w:val="0"/>
          <w:numId w:val="2"/>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Corporation tax </w:t>
      </w:r>
    </w:p>
    <w:p w14:paraId="4F2E7A2B" w14:textId="77777777" w:rsidR="008A3112" w:rsidRPr="006E5DDE" w:rsidRDefault="002126A6">
      <w:pPr>
        <w:numPr>
          <w:ilvl w:val="0"/>
          <w:numId w:val="2"/>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Excise duty </w:t>
      </w:r>
    </w:p>
    <w:p w14:paraId="4511B0DE" w14:textId="77777777" w:rsidR="008A3112" w:rsidRPr="006E5DDE" w:rsidRDefault="002126A6">
      <w:pPr>
        <w:numPr>
          <w:ilvl w:val="0"/>
          <w:numId w:val="2"/>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Other tax debts and future tax </w:t>
      </w:r>
      <w:r w:rsidRPr="006E5DDE">
        <w:rPr>
          <w:rFonts w:ascii="Maiandra GD" w:eastAsia="Canva Sans" w:hAnsi="Maiandra GD" w:cs="Canva Sans"/>
          <w:color w:val="000000"/>
          <w:sz w:val="24"/>
          <w:szCs w:val="24"/>
        </w:rPr>
        <w:t xml:space="preserve">liabilities contemplated under section 47 of the Tax Procedures Act </w:t>
      </w:r>
    </w:p>
    <w:p w14:paraId="52BB080B"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The judgment reinforces the principle that administrative guidance, circulars, or system restrictions cannot override clear statutory rights. Where the law grants a taxpayer a right to of</w:t>
      </w:r>
      <w:r w:rsidRPr="006E5DDE">
        <w:rPr>
          <w:rFonts w:ascii="Maiandra GD" w:eastAsia="Canva Sans" w:hAnsi="Maiandra GD" w:cs="Canva Sans"/>
          <w:color w:val="000000"/>
          <w:sz w:val="24"/>
          <w:szCs w:val="24"/>
        </w:rPr>
        <w:t xml:space="preserve">fset approved overpaid taxes, any administrative limitation must have a clear legal foundation. </w:t>
      </w:r>
    </w:p>
    <w:p w14:paraId="6C306E34"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lastRenderedPageBreak/>
        <w:t>The ruling is especially relevant to taxpayers with substantial withholding tax credits and limited ability to utilise those credits against corporation tax. S</w:t>
      </w:r>
      <w:r w:rsidRPr="006E5DDE">
        <w:rPr>
          <w:rFonts w:ascii="Maiandra GD" w:eastAsia="Canva Sans" w:hAnsi="Maiandra GD" w:cs="Canva Sans"/>
          <w:color w:val="000000"/>
          <w:sz w:val="24"/>
          <w:szCs w:val="24"/>
        </w:rPr>
        <w:t xml:space="preserve">uch taxpayers may have a stronger legal basis to seek offsets against PAYE, VAT, and other tax liabilities, subject to the statutory framework and the practical functionality of the iTax system. </w:t>
      </w:r>
    </w:p>
    <w:p w14:paraId="1900A36D"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The decision also highlights the importance of maintaining p</w:t>
      </w:r>
      <w:r w:rsidRPr="006E5DDE">
        <w:rPr>
          <w:rFonts w:ascii="Maiandra GD" w:eastAsia="Canva Sans" w:hAnsi="Maiandra GD" w:cs="Canva Sans"/>
          <w:color w:val="000000"/>
          <w:sz w:val="24"/>
          <w:szCs w:val="24"/>
        </w:rPr>
        <w:t xml:space="preserve">roper documentation, including refund confirmations, OAV approvals, correspondence with KRA, and system-generated evidence of attempted offsets. </w:t>
      </w:r>
    </w:p>
    <w:p w14:paraId="488A3AAE" w14:textId="77777777" w:rsidR="008A3112" w:rsidRPr="006E5DDE" w:rsidRDefault="008A3112">
      <w:pPr>
        <w:pBdr>
          <w:bottom w:val="single" w:sz="6" w:space="0" w:color="BFC3C8"/>
        </w:pBdr>
        <w:spacing w:before="120" w:after="120" w:line="0" w:lineRule="auto"/>
        <w:rPr>
          <w:rFonts w:ascii="Maiandra GD" w:hAnsi="Maiandra GD"/>
          <w:sz w:val="24"/>
          <w:szCs w:val="24"/>
        </w:rPr>
      </w:pPr>
    </w:p>
    <w:p w14:paraId="79F9F3E2"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OGP Advisory Perspective </w:t>
      </w:r>
    </w:p>
    <w:p w14:paraId="050E1AAB"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The Tribunal’s decision provides important clarity on the interpretation of section</w:t>
      </w:r>
      <w:r w:rsidRPr="006E5DDE">
        <w:rPr>
          <w:rFonts w:ascii="Maiandra GD" w:eastAsia="Canva Sans" w:hAnsi="Maiandra GD" w:cs="Canva Sans"/>
          <w:color w:val="000000"/>
          <w:sz w:val="24"/>
          <w:szCs w:val="24"/>
        </w:rPr>
        <w:t xml:space="preserve"> 47 of the Tax Procedures Act. It confirms that once an overpayment has been ascertained and approved, the taxpayer’s statutory right to apply the overpayment against outstanding and future tax liabilities should not be restricted through administrative ac</w:t>
      </w:r>
      <w:r w:rsidRPr="006E5DDE">
        <w:rPr>
          <w:rFonts w:ascii="Maiandra GD" w:eastAsia="Canva Sans" w:hAnsi="Maiandra GD" w:cs="Canva Sans"/>
          <w:color w:val="000000"/>
          <w:sz w:val="24"/>
          <w:szCs w:val="24"/>
        </w:rPr>
        <w:t xml:space="preserve">tion. </w:t>
      </w:r>
    </w:p>
    <w:p w14:paraId="0921C573"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For businesses, the ruling has direct implications for: </w:t>
      </w:r>
    </w:p>
    <w:p w14:paraId="6FA09083" w14:textId="77777777" w:rsidR="008A3112" w:rsidRPr="006E5DDE" w:rsidRDefault="002126A6">
      <w:pPr>
        <w:numPr>
          <w:ilvl w:val="0"/>
          <w:numId w:val="3"/>
        </w:numPr>
        <w:spacing w:after="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Cash flow management </w:t>
      </w:r>
    </w:p>
    <w:p w14:paraId="7DD4D338" w14:textId="77777777" w:rsidR="008A3112" w:rsidRPr="006E5DDE" w:rsidRDefault="002126A6">
      <w:pPr>
        <w:numPr>
          <w:ilvl w:val="0"/>
          <w:numId w:val="3"/>
        </w:numPr>
        <w:spacing w:after="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Tax refund strategy </w:t>
      </w:r>
    </w:p>
    <w:p w14:paraId="68B7FF41" w14:textId="77777777" w:rsidR="008A3112" w:rsidRPr="006E5DDE" w:rsidRDefault="002126A6">
      <w:pPr>
        <w:numPr>
          <w:ilvl w:val="0"/>
          <w:numId w:val="3"/>
        </w:numPr>
        <w:spacing w:after="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PAYE and VAT compliance planning </w:t>
      </w:r>
    </w:p>
    <w:p w14:paraId="75C860D0" w14:textId="77777777" w:rsidR="008A3112" w:rsidRPr="006E5DDE" w:rsidRDefault="002126A6">
      <w:pPr>
        <w:numPr>
          <w:ilvl w:val="0"/>
          <w:numId w:val="3"/>
        </w:numPr>
        <w:spacing w:after="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Tax credit utilisation </w:t>
      </w:r>
    </w:p>
    <w:p w14:paraId="2337039A" w14:textId="77777777" w:rsidR="008A3112" w:rsidRPr="006E5DDE" w:rsidRDefault="002126A6">
      <w:pPr>
        <w:numPr>
          <w:ilvl w:val="0"/>
          <w:numId w:val="3"/>
        </w:numPr>
        <w:spacing w:after="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KRA engagement and correspondence </w:t>
      </w:r>
    </w:p>
    <w:p w14:paraId="1091DE20" w14:textId="77777777" w:rsidR="008A3112" w:rsidRPr="006E5DDE" w:rsidRDefault="002126A6">
      <w:pPr>
        <w:numPr>
          <w:ilvl w:val="0"/>
          <w:numId w:val="3"/>
        </w:numPr>
        <w:spacing w:after="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Interest and penalty exposure </w:t>
      </w:r>
    </w:p>
    <w:p w14:paraId="4703276C" w14:textId="77777777" w:rsidR="008A3112" w:rsidRPr="006E5DDE" w:rsidRDefault="002126A6">
      <w:pPr>
        <w:numPr>
          <w:ilvl w:val="0"/>
          <w:numId w:val="3"/>
        </w:numPr>
        <w:spacing w:after="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Tax dispute readiness </w:t>
      </w:r>
    </w:p>
    <w:p w14:paraId="5F0C441B"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Th</w:t>
      </w:r>
      <w:r w:rsidRPr="006E5DDE">
        <w:rPr>
          <w:rFonts w:ascii="Maiandra GD" w:eastAsia="Canva Sans" w:hAnsi="Maiandra GD" w:cs="Canva Sans"/>
          <w:color w:val="000000"/>
          <w:sz w:val="24"/>
          <w:szCs w:val="24"/>
        </w:rPr>
        <w:t xml:space="preserve">e ruling is also a reminder that tax positions should be supported by clear documentation, statutory analysis, and a structured engagement strategy when dealing with KRA. </w:t>
      </w:r>
    </w:p>
    <w:p w14:paraId="749DB2E5"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 </w:t>
      </w:r>
    </w:p>
    <w:p w14:paraId="60E4FB64" w14:textId="77777777" w:rsidR="008A3112" w:rsidRPr="006E5DDE" w:rsidRDefault="008A3112">
      <w:pPr>
        <w:pBdr>
          <w:bottom w:val="single" w:sz="6" w:space="0" w:color="BFC3C8"/>
        </w:pBdr>
        <w:spacing w:before="120" w:after="120" w:line="0" w:lineRule="auto"/>
        <w:rPr>
          <w:rFonts w:ascii="Maiandra GD" w:hAnsi="Maiandra GD"/>
          <w:sz w:val="24"/>
          <w:szCs w:val="24"/>
        </w:rPr>
      </w:pPr>
    </w:p>
    <w:p w14:paraId="4B8D2370"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 xml:space="preserve">CTA: Tax Controversy and Dispute Resolution Support </w:t>
      </w:r>
    </w:p>
    <w:p w14:paraId="0095600D"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OGP Advisory Services Limite</w:t>
      </w:r>
      <w:r w:rsidRPr="006E5DDE">
        <w:rPr>
          <w:rFonts w:ascii="Maiandra GD" w:eastAsia="Canva Sans Bold" w:hAnsi="Maiandra GD" w:cs="Canva Sans Bold"/>
          <w:b/>
          <w:bCs/>
          <w:color w:val="000000"/>
          <w:sz w:val="24"/>
          <w:szCs w:val="24"/>
        </w:rPr>
        <w:t>d</w:t>
      </w:r>
      <w:r w:rsidRPr="006E5DDE">
        <w:rPr>
          <w:rFonts w:ascii="Maiandra GD" w:eastAsia="Canva Sans" w:hAnsi="Maiandra GD" w:cs="Canva Sans"/>
          <w:color w:val="000000"/>
          <w:sz w:val="24"/>
          <w:szCs w:val="24"/>
        </w:rPr>
        <w:t xml:space="preserve"> supports businesses in managing tax controversy, resolving disputes, and engaging effectively with the Kenya Revenue Authority. </w:t>
      </w:r>
    </w:p>
    <w:p w14:paraId="7D927676"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OGP Advisory’s tax controversy and dispute resolution services include: </w:t>
      </w:r>
    </w:p>
    <w:p w14:paraId="76D77F5B" w14:textId="77777777" w:rsidR="008A3112" w:rsidRPr="006E5DDE" w:rsidRDefault="002126A6">
      <w:pPr>
        <w:numPr>
          <w:ilvl w:val="0"/>
          <w:numId w:val="4"/>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Tax refund and overpayment claims </w:t>
      </w:r>
    </w:p>
    <w:p w14:paraId="443DC06B" w14:textId="77777777" w:rsidR="008A3112" w:rsidRPr="006E5DDE" w:rsidRDefault="002126A6">
      <w:pPr>
        <w:numPr>
          <w:ilvl w:val="0"/>
          <w:numId w:val="4"/>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lastRenderedPageBreak/>
        <w:t xml:space="preserve">OAV </w:t>
      </w:r>
      <w:r w:rsidRPr="006E5DDE">
        <w:rPr>
          <w:rFonts w:ascii="Maiandra GD" w:eastAsia="Canva Sans" w:hAnsi="Maiandra GD" w:cs="Canva Sans"/>
          <w:color w:val="000000"/>
          <w:sz w:val="24"/>
          <w:szCs w:val="24"/>
        </w:rPr>
        <w:t xml:space="preserve">utilisation and tax offset strategy </w:t>
      </w:r>
    </w:p>
    <w:p w14:paraId="100B942D" w14:textId="77777777" w:rsidR="008A3112" w:rsidRPr="006E5DDE" w:rsidRDefault="002126A6">
      <w:pPr>
        <w:numPr>
          <w:ilvl w:val="0"/>
          <w:numId w:val="4"/>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KRA correspondence and engagement </w:t>
      </w:r>
    </w:p>
    <w:p w14:paraId="27404AE1" w14:textId="77777777" w:rsidR="008A3112" w:rsidRPr="006E5DDE" w:rsidRDefault="002126A6">
      <w:pPr>
        <w:numPr>
          <w:ilvl w:val="0"/>
          <w:numId w:val="4"/>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Tax objection preparation and filing </w:t>
      </w:r>
    </w:p>
    <w:p w14:paraId="68856CFB" w14:textId="77777777" w:rsidR="008A3112" w:rsidRPr="006E5DDE" w:rsidRDefault="002126A6">
      <w:pPr>
        <w:numPr>
          <w:ilvl w:val="0"/>
          <w:numId w:val="4"/>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Tax Appeals Tribunal support </w:t>
      </w:r>
    </w:p>
    <w:p w14:paraId="61B2D1D1" w14:textId="77777777" w:rsidR="008A3112" w:rsidRPr="006E5DDE" w:rsidRDefault="002126A6">
      <w:pPr>
        <w:numPr>
          <w:ilvl w:val="0"/>
          <w:numId w:val="4"/>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Interest and penalty review </w:t>
      </w:r>
    </w:p>
    <w:p w14:paraId="242829B3" w14:textId="77777777" w:rsidR="008A3112" w:rsidRPr="006E5DDE" w:rsidRDefault="002126A6">
      <w:pPr>
        <w:numPr>
          <w:ilvl w:val="0"/>
          <w:numId w:val="4"/>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Tax compliance risk assessments </w:t>
      </w:r>
    </w:p>
    <w:p w14:paraId="33D48BA6" w14:textId="77777777" w:rsidR="008A3112" w:rsidRPr="006E5DDE" w:rsidRDefault="002126A6">
      <w:pPr>
        <w:numPr>
          <w:ilvl w:val="0"/>
          <w:numId w:val="4"/>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PAYE, VAT, corporation tax, and withholding tax </w:t>
      </w:r>
      <w:r w:rsidRPr="006E5DDE">
        <w:rPr>
          <w:rFonts w:ascii="Maiandra GD" w:eastAsia="Canva Sans" w:hAnsi="Maiandra GD" w:cs="Canva Sans"/>
          <w:color w:val="000000"/>
          <w:sz w:val="24"/>
          <w:szCs w:val="24"/>
        </w:rPr>
        <w:t xml:space="preserve">dispute support </w:t>
      </w:r>
    </w:p>
    <w:p w14:paraId="7BFE2E0D" w14:textId="77777777" w:rsidR="008A3112" w:rsidRPr="006E5DDE" w:rsidRDefault="002126A6">
      <w:pPr>
        <w:numPr>
          <w:ilvl w:val="0"/>
          <w:numId w:val="4"/>
        </w:numPr>
        <w:spacing w:after="0" w:line="336" w:lineRule="auto"/>
        <w:rPr>
          <w:rFonts w:ascii="Maiandra GD" w:hAnsi="Maiandra GD"/>
          <w:sz w:val="24"/>
          <w:szCs w:val="24"/>
        </w:rPr>
      </w:pPr>
      <w:r w:rsidRPr="006E5DDE">
        <w:rPr>
          <w:rFonts w:ascii="Maiandra GD" w:eastAsia="Canva Sans" w:hAnsi="Maiandra GD" w:cs="Canva Sans"/>
          <w:color w:val="000000"/>
          <w:sz w:val="24"/>
          <w:szCs w:val="24"/>
        </w:rPr>
        <w:t xml:space="preserve">Strategic tax advisory for growing and mid-market businesses </w:t>
      </w:r>
    </w:p>
    <w:p w14:paraId="6139A540"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 </w:t>
      </w:r>
    </w:p>
    <w:tbl>
      <w:tblPr>
        <w:tblW w:w="903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9030"/>
      </w:tblGrid>
      <w:tr w:rsidR="008A3112" w:rsidRPr="006E5DDE" w14:paraId="4153BA41" w14:textId="77777777">
        <w:tblPrEx>
          <w:tblCellMar>
            <w:top w:w="0" w:type="dxa"/>
            <w:bottom w:w="0" w:type="dxa"/>
          </w:tblCellMar>
        </w:tblPrEx>
        <w:tc>
          <w:tcPr>
            <w:tcW w:w="9030" w:type="dxa"/>
            <w:shd w:val="clear" w:color="auto" w:fill="F4F6F8"/>
            <w:tcMar>
              <w:top w:w="0" w:type="dxa"/>
              <w:left w:w="0" w:type="dxa"/>
              <w:bottom w:w="0" w:type="dxa"/>
              <w:right w:w="0" w:type="dxa"/>
            </w:tcMar>
          </w:tcPr>
          <w:p w14:paraId="7B858441"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Next step:</w:t>
            </w:r>
            <w:r w:rsidRPr="006E5DDE">
              <w:rPr>
                <w:rFonts w:ascii="Maiandra GD" w:eastAsia="Canva Sans" w:hAnsi="Maiandra GD" w:cs="Canva Sans"/>
                <w:color w:val="000000"/>
                <w:sz w:val="24"/>
                <w:szCs w:val="24"/>
              </w:rPr>
              <w:t xml:space="preserve"> For support on approved tax credits, refund disputes, OAV utilisation, offset restrictions, or KRA tax assessments, contact: </w:t>
            </w:r>
          </w:p>
          <w:p w14:paraId="4C2FA30E"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 </w:t>
            </w:r>
          </w:p>
          <w:p w14:paraId="5A8F2A39" w14:textId="2B97CDCF" w:rsidR="008A3112" w:rsidRPr="006E5DDE" w:rsidRDefault="002126A6">
            <w:pPr>
              <w:spacing w:before="120" w:after="120" w:line="336" w:lineRule="auto"/>
              <w:rPr>
                <w:rFonts w:ascii="Maiandra GD" w:hAnsi="Maiandra GD"/>
                <w:sz w:val="24"/>
                <w:szCs w:val="24"/>
              </w:rPr>
            </w:pPr>
            <w:r w:rsidRPr="006E5DDE">
              <w:rPr>
                <w:rFonts w:ascii="Maiandra GD" w:eastAsia="Canva Sans Bold" w:hAnsi="Maiandra GD" w:cs="Canva Sans Bold"/>
                <w:b/>
                <w:bCs/>
                <w:color w:val="000000"/>
                <w:sz w:val="24"/>
                <w:szCs w:val="24"/>
              </w:rPr>
              <w:t>OGP Advisory Services Limited</w:t>
            </w:r>
            <w:r w:rsidRPr="006E5DDE">
              <w:rPr>
                <w:rFonts w:ascii="Maiandra GD" w:eastAsia="Canva Sans" w:hAnsi="Maiandra GD" w:cs="Canva Sans"/>
                <w:color w:val="000000"/>
                <w:sz w:val="24"/>
                <w:szCs w:val="24"/>
              </w:rPr>
              <w:br/>
              <w:t xml:space="preserve">Pili </w:t>
            </w:r>
            <w:r w:rsidRPr="006E5DDE">
              <w:rPr>
                <w:rFonts w:ascii="Maiandra GD" w:eastAsia="Canva Sans" w:hAnsi="Maiandra GD" w:cs="Canva Sans"/>
                <w:color w:val="000000"/>
                <w:sz w:val="24"/>
                <w:szCs w:val="24"/>
              </w:rPr>
              <w:t>Trade Centre, Mombasa Road, Suite C111, Nairobi, Kenya</w:t>
            </w:r>
            <w:r w:rsidRPr="006E5DDE">
              <w:rPr>
                <w:rFonts w:ascii="Maiandra GD" w:eastAsia="Canva Sans" w:hAnsi="Maiandra GD" w:cs="Canva Sans"/>
                <w:color w:val="000000"/>
                <w:sz w:val="24"/>
                <w:szCs w:val="24"/>
              </w:rPr>
              <w:br/>
            </w:r>
            <w:r w:rsidRPr="006E5DDE">
              <w:rPr>
                <w:rFonts w:ascii="Maiandra GD" w:eastAsia="Canva Sans Bold" w:hAnsi="Maiandra GD" w:cs="Canva Sans Bold"/>
                <w:b/>
                <w:bCs/>
                <w:color w:val="000000"/>
                <w:sz w:val="24"/>
                <w:szCs w:val="24"/>
              </w:rPr>
              <w:t>CPA Joshua Musila, Managing Partner</w:t>
            </w:r>
            <w:r w:rsidRPr="006E5DDE">
              <w:rPr>
                <w:rFonts w:ascii="Maiandra GD" w:eastAsia="Canva Sans" w:hAnsi="Maiandra GD" w:cs="Canva Sans"/>
                <w:color w:val="000000"/>
                <w:sz w:val="24"/>
                <w:szCs w:val="24"/>
              </w:rPr>
              <w:br/>
              <w:t>**</w:t>
            </w:r>
            <w:proofErr w:type="gramStart"/>
            <w:r w:rsidRPr="006E5DDE">
              <w:rPr>
                <w:rFonts w:ascii="Maiandra GD" w:eastAsia="Canva Sans" w:hAnsi="Maiandra GD" w:cs="Canva Sans"/>
                <w:color w:val="000000"/>
                <w:sz w:val="24"/>
                <w:szCs w:val="24"/>
              </w:rPr>
              <w:t>Email:**joshua@ogpadvisory.com</w:t>
            </w:r>
            <w:proofErr w:type="gramEnd"/>
            <w:r w:rsidRPr="006E5DDE">
              <w:rPr>
                <w:rFonts w:ascii="Maiandra GD" w:eastAsia="Canva Sans" w:hAnsi="Maiandra GD" w:cs="Canva Sans"/>
                <w:color w:val="000000"/>
                <w:sz w:val="24"/>
                <w:szCs w:val="24"/>
              </w:rPr>
              <w:br/>
              <w:t>**Phone:**07</w:t>
            </w:r>
            <w:r w:rsidR="006E5DDE">
              <w:rPr>
                <w:rFonts w:ascii="Maiandra GD" w:eastAsia="Canva Sans" w:hAnsi="Maiandra GD" w:cs="Canva Sans"/>
                <w:color w:val="000000"/>
                <w:sz w:val="24"/>
                <w:szCs w:val="24"/>
              </w:rPr>
              <w:t>10 413 089</w:t>
            </w:r>
            <w:r w:rsidRPr="006E5DDE">
              <w:rPr>
                <w:rFonts w:ascii="Maiandra GD" w:eastAsia="Canva Sans" w:hAnsi="Maiandra GD" w:cs="Canva Sans"/>
                <w:color w:val="000000"/>
                <w:sz w:val="24"/>
                <w:szCs w:val="24"/>
              </w:rPr>
              <w:br/>
            </w:r>
          </w:p>
        </w:tc>
      </w:tr>
    </w:tbl>
    <w:p w14:paraId="441D1885" w14:textId="77777777" w:rsidR="008A3112" w:rsidRPr="006E5DDE" w:rsidRDefault="002126A6">
      <w:pPr>
        <w:spacing w:before="120" w:after="120" w:line="336" w:lineRule="auto"/>
        <w:rPr>
          <w:rFonts w:ascii="Maiandra GD" w:hAnsi="Maiandra GD"/>
          <w:sz w:val="24"/>
          <w:szCs w:val="24"/>
        </w:rPr>
      </w:pPr>
      <w:r w:rsidRPr="006E5DDE">
        <w:rPr>
          <w:rFonts w:ascii="Maiandra GD" w:eastAsia="Canva Sans" w:hAnsi="Maiandra GD" w:cs="Canva Sans"/>
          <w:color w:val="000000"/>
          <w:sz w:val="24"/>
          <w:szCs w:val="24"/>
        </w:rPr>
        <w:t xml:space="preserve"> </w:t>
      </w:r>
    </w:p>
    <w:sectPr w:rsidR="008A3112" w:rsidRPr="006E5DDE">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6DAE95B-CD0C-4EDB-A53D-357D061EC82D}"/>
  </w:font>
  <w:font w:name="Maiandra GD">
    <w:panose1 w:val="020E0502030308020204"/>
    <w:charset w:val="00"/>
    <w:family w:val="swiss"/>
    <w:pitch w:val="variable"/>
    <w:sig w:usb0="00000003" w:usb1="00000000" w:usb2="00000000" w:usb3="00000000" w:csb0="00000001" w:csb1="00000000"/>
    <w:embedRegular r:id="rId2" w:fontKey="{C82F8C6D-83BE-4E3E-A101-F35B163E3447}"/>
    <w:embedBold r:id="rId3" w:fontKey="{F121D9FE-02E6-41A0-9033-33709C8FBD3C}"/>
  </w:font>
  <w:font w:name="Canva Sans Bold">
    <w:charset w:val="00"/>
    <w:family w:val="auto"/>
    <w:pitch w:val="default"/>
    <w:embedBold r:id="rId4" w:fontKey="{566533FC-3695-4A9D-921F-DC8C1562E589}"/>
  </w:font>
  <w:font w:name="Canva Sans">
    <w:charset w:val="00"/>
    <w:family w:val="auto"/>
    <w:pitch w:val="default"/>
    <w:embedRegular r:id="rId5" w:fontKey="{DB0E7207-8098-41C8-AC87-283EDB0F7BAF}"/>
  </w:font>
  <w:font w:name="Calibri Light">
    <w:panose1 w:val="020F0302020204030204"/>
    <w:charset w:val="00"/>
    <w:family w:val="swiss"/>
    <w:pitch w:val="variable"/>
    <w:sig w:usb0="E4002EFF" w:usb1="C200247B" w:usb2="00000009" w:usb3="00000000" w:csb0="000001FF" w:csb1="00000000"/>
    <w:embedRegular r:id="rId6" w:fontKey="{AF3EB870-3FDD-4E7C-9DB6-83BD7144A07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C480E"/>
    <w:multiLevelType w:val="hybridMultilevel"/>
    <w:tmpl w:val="2A5C975E"/>
    <w:lvl w:ilvl="0" w:tplc="550E8442">
      <w:start w:val="1"/>
      <w:numFmt w:val="bullet"/>
      <w:lvlText w:val=""/>
      <w:lvlJc w:val="left"/>
      <w:pPr>
        <w:ind w:left="400" w:hanging="360"/>
      </w:pPr>
      <w:rPr>
        <w:rFonts w:ascii="Symbol" w:hAnsi="Symbol"/>
      </w:rPr>
    </w:lvl>
    <w:lvl w:ilvl="1" w:tplc="3B0A57D0">
      <w:start w:val="1"/>
      <w:numFmt w:val="bullet"/>
      <w:lvlText w:val="o"/>
      <w:lvlJc w:val="left"/>
      <w:pPr>
        <w:ind w:left="800" w:hanging="360"/>
      </w:pPr>
      <w:rPr>
        <w:rFonts w:ascii="Courier New" w:hAnsi="Courier New"/>
      </w:rPr>
    </w:lvl>
    <w:lvl w:ilvl="2" w:tplc="21EE0166">
      <w:start w:val="1"/>
      <w:numFmt w:val="bullet"/>
      <w:lvlText w:val=""/>
      <w:lvlJc w:val="left"/>
      <w:pPr>
        <w:ind w:left="1200" w:hanging="360"/>
      </w:pPr>
      <w:rPr>
        <w:rFonts w:ascii="Wingdings" w:hAnsi="Wingdings"/>
      </w:rPr>
    </w:lvl>
    <w:lvl w:ilvl="3" w:tplc="10A26356">
      <w:start w:val="1"/>
      <w:numFmt w:val="bullet"/>
      <w:lvlText w:val=""/>
      <w:lvlJc w:val="left"/>
      <w:pPr>
        <w:ind w:left="1600" w:hanging="360"/>
      </w:pPr>
      <w:rPr>
        <w:rFonts w:ascii="Symbol" w:hAnsi="Symbol"/>
      </w:rPr>
    </w:lvl>
    <w:lvl w:ilvl="4" w:tplc="6E38F5A8">
      <w:start w:val="1"/>
      <w:numFmt w:val="bullet"/>
      <w:lvlText w:val="o"/>
      <w:lvlJc w:val="left"/>
      <w:pPr>
        <w:ind w:left="2000" w:hanging="360"/>
      </w:pPr>
      <w:rPr>
        <w:rFonts w:ascii="Courier New" w:hAnsi="Courier New"/>
      </w:rPr>
    </w:lvl>
    <w:lvl w:ilvl="5" w:tplc="D46CD336">
      <w:start w:val="1"/>
      <w:numFmt w:val="bullet"/>
      <w:lvlText w:val=""/>
      <w:lvlJc w:val="left"/>
      <w:pPr>
        <w:ind w:left="2400" w:hanging="360"/>
      </w:pPr>
      <w:rPr>
        <w:rFonts w:ascii="Wingdings" w:hAnsi="Wingdings"/>
      </w:rPr>
    </w:lvl>
    <w:lvl w:ilvl="6" w:tplc="37E00890">
      <w:start w:val="1"/>
      <w:numFmt w:val="bullet"/>
      <w:lvlText w:val=""/>
      <w:lvlJc w:val="left"/>
      <w:pPr>
        <w:ind w:left="2800" w:hanging="360"/>
      </w:pPr>
      <w:rPr>
        <w:rFonts w:ascii="Symbol" w:hAnsi="Symbol"/>
      </w:rPr>
    </w:lvl>
    <w:lvl w:ilvl="7" w:tplc="D9308FE4">
      <w:start w:val="1"/>
      <w:numFmt w:val="bullet"/>
      <w:lvlText w:val="o"/>
      <w:lvlJc w:val="left"/>
      <w:pPr>
        <w:ind w:left="3200" w:hanging="360"/>
      </w:pPr>
      <w:rPr>
        <w:rFonts w:ascii="Courier New" w:hAnsi="Courier New"/>
      </w:rPr>
    </w:lvl>
    <w:lvl w:ilvl="8" w:tplc="C6D8ECBE">
      <w:numFmt w:val="decimal"/>
      <w:lvlText w:val=""/>
      <w:lvlJc w:val="left"/>
    </w:lvl>
  </w:abstractNum>
  <w:abstractNum w:abstractNumId="1" w15:restartNumberingAfterBreak="0">
    <w:nsid w:val="4FB2130A"/>
    <w:multiLevelType w:val="hybridMultilevel"/>
    <w:tmpl w:val="2C204E22"/>
    <w:lvl w:ilvl="0" w:tplc="CD9A3F32">
      <w:start w:val="1"/>
      <w:numFmt w:val="bullet"/>
      <w:lvlText w:val=""/>
      <w:lvlJc w:val="left"/>
      <w:pPr>
        <w:ind w:left="400" w:hanging="360"/>
      </w:pPr>
      <w:rPr>
        <w:rFonts w:ascii="Symbol" w:hAnsi="Symbol"/>
      </w:rPr>
    </w:lvl>
    <w:lvl w:ilvl="1" w:tplc="E42E7274">
      <w:start w:val="1"/>
      <w:numFmt w:val="bullet"/>
      <w:lvlText w:val="o"/>
      <w:lvlJc w:val="left"/>
      <w:pPr>
        <w:ind w:left="800" w:hanging="360"/>
      </w:pPr>
      <w:rPr>
        <w:rFonts w:ascii="Courier New" w:hAnsi="Courier New"/>
      </w:rPr>
    </w:lvl>
    <w:lvl w:ilvl="2" w:tplc="4D3C8F12">
      <w:start w:val="1"/>
      <w:numFmt w:val="bullet"/>
      <w:lvlText w:val=""/>
      <w:lvlJc w:val="left"/>
      <w:pPr>
        <w:ind w:left="1200" w:hanging="360"/>
      </w:pPr>
      <w:rPr>
        <w:rFonts w:ascii="Wingdings" w:hAnsi="Wingdings"/>
      </w:rPr>
    </w:lvl>
    <w:lvl w:ilvl="3" w:tplc="2E225314">
      <w:start w:val="1"/>
      <w:numFmt w:val="bullet"/>
      <w:lvlText w:val=""/>
      <w:lvlJc w:val="left"/>
      <w:pPr>
        <w:ind w:left="1600" w:hanging="360"/>
      </w:pPr>
      <w:rPr>
        <w:rFonts w:ascii="Symbol" w:hAnsi="Symbol"/>
      </w:rPr>
    </w:lvl>
    <w:lvl w:ilvl="4" w:tplc="C0D4F954">
      <w:start w:val="1"/>
      <w:numFmt w:val="bullet"/>
      <w:lvlText w:val="o"/>
      <w:lvlJc w:val="left"/>
      <w:pPr>
        <w:ind w:left="2000" w:hanging="360"/>
      </w:pPr>
      <w:rPr>
        <w:rFonts w:ascii="Courier New" w:hAnsi="Courier New"/>
      </w:rPr>
    </w:lvl>
    <w:lvl w:ilvl="5" w:tplc="BF64F9C0">
      <w:start w:val="1"/>
      <w:numFmt w:val="bullet"/>
      <w:lvlText w:val=""/>
      <w:lvlJc w:val="left"/>
      <w:pPr>
        <w:ind w:left="2400" w:hanging="360"/>
      </w:pPr>
      <w:rPr>
        <w:rFonts w:ascii="Wingdings" w:hAnsi="Wingdings"/>
      </w:rPr>
    </w:lvl>
    <w:lvl w:ilvl="6" w:tplc="D52C837C">
      <w:start w:val="1"/>
      <w:numFmt w:val="bullet"/>
      <w:lvlText w:val=""/>
      <w:lvlJc w:val="left"/>
      <w:pPr>
        <w:ind w:left="2800" w:hanging="360"/>
      </w:pPr>
      <w:rPr>
        <w:rFonts w:ascii="Symbol" w:hAnsi="Symbol"/>
      </w:rPr>
    </w:lvl>
    <w:lvl w:ilvl="7" w:tplc="B54219AA">
      <w:start w:val="1"/>
      <w:numFmt w:val="bullet"/>
      <w:lvlText w:val="o"/>
      <w:lvlJc w:val="left"/>
      <w:pPr>
        <w:ind w:left="3200" w:hanging="360"/>
      </w:pPr>
      <w:rPr>
        <w:rFonts w:ascii="Courier New" w:hAnsi="Courier New"/>
      </w:rPr>
    </w:lvl>
    <w:lvl w:ilvl="8" w:tplc="F9EC667A">
      <w:numFmt w:val="decimal"/>
      <w:lvlText w:val=""/>
      <w:lvlJc w:val="left"/>
    </w:lvl>
  </w:abstractNum>
  <w:abstractNum w:abstractNumId="2" w15:restartNumberingAfterBreak="0">
    <w:nsid w:val="5E315782"/>
    <w:multiLevelType w:val="hybridMultilevel"/>
    <w:tmpl w:val="ACBAC9A0"/>
    <w:lvl w:ilvl="0" w:tplc="8BE2C014">
      <w:start w:val="1"/>
      <w:numFmt w:val="bullet"/>
      <w:lvlText w:val=""/>
      <w:lvlJc w:val="left"/>
      <w:pPr>
        <w:ind w:left="400" w:hanging="360"/>
      </w:pPr>
      <w:rPr>
        <w:rFonts w:ascii="Symbol" w:hAnsi="Symbol"/>
      </w:rPr>
    </w:lvl>
    <w:lvl w:ilvl="1" w:tplc="412E079E">
      <w:start w:val="1"/>
      <w:numFmt w:val="bullet"/>
      <w:lvlText w:val="o"/>
      <w:lvlJc w:val="left"/>
      <w:pPr>
        <w:ind w:left="800" w:hanging="360"/>
      </w:pPr>
      <w:rPr>
        <w:rFonts w:ascii="Courier New" w:hAnsi="Courier New"/>
      </w:rPr>
    </w:lvl>
    <w:lvl w:ilvl="2" w:tplc="9F2282BA">
      <w:start w:val="1"/>
      <w:numFmt w:val="bullet"/>
      <w:lvlText w:val=""/>
      <w:lvlJc w:val="left"/>
      <w:pPr>
        <w:ind w:left="1200" w:hanging="360"/>
      </w:pPr>
      <w:rPr>
        <w:rFonts w:ascii="Wingdings" w:hAnsi="Wingdings"/>
      </w:rPr>
    </w:lvl>
    <w:lvl w:ilvl="3" w:tplc="B8AE5E44">
      <w:start w:val="1"/>
      <w:numFmt w:val="bullet"/>
      <w:lvlText w:val=""/>
      <w:lvlJc w:val="left"/>
      <w:pPr>
        <w:ind w:left="1600" w:hanging="360"/>
      </w:pPr>
      <w:rPr>
        <w:rFonts w:ascii="Symbol" w:hAnsi="Symbol"/>
      </w:rPr>
    </w:lvl>
    <w:lvl w:ilvl="4" w:tplc="B434B28E">
      <w:start w:val="1"/>
      <w:numFmt w:val="bullet"/>
      <w:lvlText w:val="o"/>
      <w:lvlJc w:val="left"/>
      <w:pPr>
        <w:ind w:left="2000" w:hanging="360"/>
      </w:pPr>
      <w:rPr>
        <w:rFonts w:ascii="Courier New" w:hAnsi="Courier New"/>
      </w:rPr>
    </w:lvl>
    <w:lvl w:ilvl="5" w:tplc="64F4585A">
      <w:start w:val="1"/>
      <w:numFmt w:val="bullet"/>
      <w:lvlText w:val=""/>
      <w:lvlJc w:val="left"/>
      <w:pPr>
        <w:ind w:left="2400" w:hanging="360"/>
      </w:pPr>
      <w:rPr>
        <w:rFonts w:ascii="Wingdings" w:hAnsi="Wingdings"/>
      </w:rPr>
    </w:lvl>
    <w:lvl w:ilvl="6" w:tplc="EBBE5738">
      <w:start w:val="1"/>
      <w:numFmt w:val="bullet"/>
      <w:lvlText w:val=""/>
      <w:lvlJc w:val="left"/>
      <w:pPr>
        <w:ind w:left="2800" w:hanging="360"/>
      </w:pPr>
      <w:rPr>
        <w:rFonts w:ascii="Symbol" w:hAnsi="Symbol"/>
      </w:rPr>
    </w:lvl>
    <w:lvl w:ilvl="7" w:tplc="53B4B7F0">
      <w:start w:val="1"/>
      <w:numFmt w:val="bullet"/>
      <w:lvlText w:val="o"/>
      <w:lvlJc w:val="left"/>
      <w:pPr>
        <w:ind w:left="3200" w:hanging="360"/>
      </w:pPr>
      <w:rPr>
        <w:rFonts w:ascii="Courier New" w:hAnsi="Courier New"/>
      </w:rPr>
    </w:lvl>
    <w:lvl w:ilvl="8" w:tplc="ECA067D0">
      <w:numFmt w:val="decimal"/>
      <w:lvlText w:val=""/>
      <w:lvlJc w:val="left"/>
    </w:lvl>
  </w:abstractNum>
  <w:abstractNum w:abstractNumId="3" w15:restartNumberingAfterBreak="0">
    <w:nsid w:val="7B7D4939"/>
    <w:multiLevelType w:val="hybridMultilevel"/>
    <w:tmpl w:val="A7DE75EC"/>
    <w:lvl w:ilvl="0" w:tplc="68A8864A">
      <w:start w:val="1"/>
      <w:numFmt w:val="bullet"/>
      <w:lvlText w:val=""/>
      <w:lvlJc w:val="left"/>
      <w:pPr>
        <w:ind w:left="400" w:hanging="360"/>
      </w:pPr>
      <w:rPr>
        <w:rFonts w:ascii="Symbol" w:hAnsi="Symbol"/>
      </w:rPr>
    </w:lvl>
    <w:lvl w:ilvl="1" w:tplc="500438AC">
      <w:start w:val="1"/>
      <w:numFmt w:val="bullet"/>
      <w:lvlText w:val="o"/>
      <w:lvlJc w:val="left"/>
      <w:pPr>
        <w:ind w:left="800" w:hanging="360"/>
      </w:pPr>
      <w:rPr>
        <w:rFonts w:ascii="Courier New" w:hAnsi="Courier New"/>
      </w:rPr>
    </w:lvl>
    <w:lvl w:ilvl="2" w:tplc="715C3F4E">
      <w:start w:val="1"/>
      <w:numFmt w:val="bullet"/>
      <w:lvlText w:val=""/>
      <w:lvlJc w:val="left"/>
      <w:pPr>
        <w:ind w:left="1200" w:hanging="360"/>
      </w:pPr>
      <w:rPr>
        <w:rFonts w:ascii="Wingdings" w:hAnsi="Wingdings"/>
      </w:rPr>
    </w:lvl>
    <w:lvl w:ilvl="3" w:tplc="0CEC3C90">
      <w:start w:val="1"/>
      <w:numFmt w:val="bullet"/>
      <w:lvlText w:val=""/>
      <w:lvlJc w:val="left"/>
      <w:pPr>
        <w:ind w:left="1600" w:hanging="360"/>
      </w:pPr>
      <w:rPr>
        <w:rFonts w:ascii="Symbol" w:hAnsi="Symbol"/>
      </w:rPr>
    </w:lvl>
    <w:lvl w:ilvl="4" w:tplc="CF207E88">
      <w:start w:val="1"/>
      <w:numFmt w:val="bullet"/>
      <w:lvlText w:val="o"/>
      <w:lvlJc w:val="left"/>
      <w:pPr>
        <w:ind w:left="2000" w:hanging="360"/>
      </w:pPr>
      <w:rPr>
        <w:rFonts w:ascii="Courier New" w:hAnsi="Courier New"/>
      </w:rPr>
    </w:lvl>
    <w:lvl w:ilvl="5" w:tplc="936649B6">
      <w:start w:val="1"/>
      <w:numFmt w:val="bullet"/>
      <w:lvlText w:val=""/>
      <w:lvlJc w:val="left"/>
      <w:pPr>
        <w:ind w:left="2400" w:hanging="360"/>
      </w:pPr>
      <w:rPr>
        <w:rFonts w:ascii="Wingdings" w:hAnsi="Wingdings"/>
      </w:rPr>
    </w:lvl>
    <w:lvl w:ilvl="6" w:tplc="4AAE6314">
      <w:start w:val="1"/>
      <w:numFmt w:val="bullet"/>
      <w:lvlText w:val=""/>
      <w:lvlJc w:val="left"/>
      <w:pPr>
        <w:ind w:left="2800" w:hanging="360"/>
      </w:pPr>
      <w:rPr>
        <w:rFonts w:ascii="Symbol" w:hAnsi="Symbol"/>
      </w:rPr>
    </w:lvl>
    <w:lvl w:ilvl="7" w:tplc="7EC8663E">
      <w:start w:val="1"/>
      <w:numFmt w:val="bullet"/>
      <w:lvlText w:val="o"/>
      <w:lvlJc w:val="left"/>
      <w:pPr>
        <w:ind w:left="3200" w:hanging="360"/>
      </w:pPr>
      <w:rPr>
        <w:rFonts w:ascii="Courier New" w:hAnsi="Courier New"/>
      </w:rPr>
    </w:lvl>
    <w:lvl w:ilvl="8" w:tplc="B7B08494">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112"/>
    <w:rsid w:val="000B1E43"/>
    <w:rsid w:val="002126A6"/>
    <w:rsid w:val="006E5DDE"/>
    <w:rsid w:val="008A3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741AA"/>
  <w15:docId w15:val="{55A9C04F-BCE3-489B-92CD-A56000EC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1223</Words>
  <Characters>6976</Characters>
  <Application>Microsoft Office Word</Application>
  <DocSecurity>0</DocSecurity>
  <Lines>58</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Document Template</dc:title>
  <dc:creator>Apache POI</dc:creator>
  <cp:lastModifiedBy>Joshua Musila</cp:lastModifiedBy>
  <cp:revision>3</cp:revision>
  <dcterms:created xsi:type="dcterms:W3CDTF">2026-08-20T08:46:00Z</dcterms:created>
  <dcterms:modified xsi:type="dcterms:W3CDTF">2026-08-20T08:46:00Z</dcterms:modified>
</cp:coreProperties>
</file>